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D34B8" w:rsidRPr="00B10A47" w:rsidRDefault="006D34B8">
      <w:pPr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B7CEE" w14:paraId="5C17F827" w14:textId="77777777" w:rsidTr="00F156FE">
        <w:tc>
          <w:tcPr>
            <w:tcW w:w="10795" w:type="dxa"/>
            <w:shd w:val="clear" w:color="auto" w:fill="C8C372"/>
          </w:tcPr>
          <w:p w14:paraId="107AA0F5" w14:textId="77777777" w:rsidR="001B7CEE" w:rsidRPr="001B7CEE" w:rsidRDefault="00565BAF" w:rsidP="00F156FE">
            <w:pPr>
              <w:jc w:val="center"/>
              <w:rPr>
                <w:b/>
                <w:color w:val="1E4D2B"/>
              </w:rPr>
            </w:pPr>
            <w:r>
              <w:rPr>
                <w:b/>
                <w:color w:val="1E4D2B"/>
              </w:rPr>
              <w:t>RESOURCES</w:t>
            </w:r>
          </w:p>
        </w:tc>
      </w:tr>
    </w:tbl>
    <w:p w14:paraId="39C008A0" w14:textId="77777777" w:rsidR="001B7CEE" w:rsidRPr="00D86C28" w:rsidRDefault="001B7CEE" w:rsidP="00565BAF">
      <w:pPr>
        <w:spacing w:before="240" w:line="276" w:lineRule="auto"/>
        <w:rPr>
          <w:b/>
          <w:sz w:val="20"/>
          <w:szCs w:val="20"/>
        </w:rPr>
      </w:pPr>
      <w:r w:rsidRPr="00D86C28">
        <w:rPr>
          <w:sz w:val="20"/>
          <w:szCs w:val="20"/>
        </w:rPr>
        <w:t>To learn more about the history</w:t>
      </w:r>
      <w:r w:rsidR="00D86C28" w:rsidRPr="00D86C28">
        <w:rPr>
          <w:sz w:val="20"/>
          <w:szCs w:val="20"/>
        </w:rPr>
        <w:t xml:space="preserve"> and requirements of the Clery A</w:t>
      </w:r>
      <w:r w:rsidR="00CC687F">
        <w:rPr>
          <w:sz w:val="20"/>
          <w:szCs w:val="20"/>
        </w:rPr>
        <w:t>ct</w:t>
      </w:r>
      <w:r w:rsidRPr="00D86C28">
        <w:rPr>
          <w:sz w:val="20"/>
          <w:szCs w:val="20"/>
        </w:rPr>
        <w:t xml:space="preserve"> visit </w:t>
      </w:r>
      <w:r w:rsidR="00CC687F">
        <w:rPr>
          <w:b/>
          <w:sz w:val="20"/>
          <w:szCs w:val="20"/>
        </w:rPr>
        <w:t>safety.colostate.edu/annual-safety-reports-</w:t>
      </w:r>
      <w:proofErr w:type="spellStart"/>
      <w:r w:rsidR="00CC687F">
        <w:rPr>
          <w:b/>
          <w:sz w:val="20"/>
          <w:szCs w:val="20"/>
        </w:rPr>
        <w:t>clery</w:t>
      </w:r>
      <w:proofErr w:type="spellEnd"/>
      <w:r w:rsidR="00CC687F">
        <w:rPr>
          <w:b/>
          <w:sz w:val="20"/>
          <w:szCs w:val="20"/>
        </w:rPr>
        <w:t>-act/</w:t>
      </w:r>
    </w:p>
    <w:p w14:paraId="6766C8E1" w14:textId="77777777" w:rsidR="00565BAF" w:rsidRPr="00D86C28" w:rsidRDefault="00565BAF" w:rsidP="00565BAF">
      <w:pPr>
        <w:spacing w:before="240" w:line="276" w:lineRule="auto"/>
        <w:rPr>
          <w:sz w:val="20"/>
          <w:szCs w:val="20"/>
        </w:rPr>
      </w:pPr>
      <w:r w:rsidRPr="00D86C28">
        <w:rPr>
          <w:sz w:val="20"/>
          <w:szCs w:val="20"/>
        </w:rPr>
        <w:t xml:space="preserve">To learn more about Title IX requirements and resources please visit </w:t>
      </w:r>
      <w:r w:rsidRPr="00D86C28">
        <w:rPr>
          <w:b/>
          <w:sz w:val="20"/>
          <w:szCs w:val="20"/>
        </w:rPr>
        <w:t>supportandsafety.colostate.edu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B7CEE" w14:paraId="655B01CA" w14:textId="77777777" w:rsidTr="00F156FE">
        <w:tc>
          <w:tcPr>
            <w:tcW w:w="10795" w:type="dxa"/>
            <w:shd w:val="clear" w:color="auto" w:fill="C8C372"/>
          </w:tcPr>
          <w:p w14:paraId="1647D0C6" w14:textId="77777777" w:rsidR="001B7CEE" w:rsidRPr="001B7CEE" w:rsidRDefault="001B7CEE" w:rsidP="001B7CEE">
            <w:pPr>
              <w:jc w:val="center"/>
              <w:rPr>
                <w:b/>
                <w:color w:val="1E4D2B"/>
              </w:rPr>
            </w:pPr>
            <w:r>
              <w:rPr>
                <w:b/>
                <w:color w:val="1E4D2B"/>
              </w:rPr>
              <w:t>CSA DEFINITION</w:t>
            </w:r>
          </w:p>
        </w:tc>
      </w:tr>
    </w:tbl>
    <w:p w14:paraId="17DFE33B" w14:textId="77777777" w:rsidR="001B7CEE" w:rsidRPr="00D86C28" w:rsidRDefault="00D86C28" w:rsidP="00F156FE">
      <w:pPr>
        <w:spacing w:before="240"/>
        <w:rPr>
          <w:sz w:val="20"/>
          <w:szCs w:val="20"/>
        </w:rPr>
      </w:pPr>
      <w:r w:rsidRPr="00D86C28">
        <w:rPr>
          <w:sz w:val="20"/>
          <w:szCs w:val="20"/>
        </w:rPr>
        <w:t xml:space="preserve">A Campus Security Authority (CSA) is a specific university employee, student, and/or contractor that is federally mandated under the Clery Act with the responsibility to report crimes that are reported to them. If you have been identified as a </w:t>
      </w:r>
      <w:proofErr w:type="gramStart"/>
      <w:r w:rsidRPr="00D86C28">
        <w:rPr>
          <w:sz w:val="20"/>
          <w:szCs w:val="20"/>
        </w:rPr>
        <w:t>CSA</w:t>
      </w:r>
      <w:proofErr w:type="gramEnd"/>
      <w:r w:rsidRPr="00D86C28">
        <w:rPr>
          <w:sz w:val="20"/>
          <w:szCs w:val="20"/>
        </w:rPr>
        <w:t xml:space="preserve"> your role at CSU falls under one of the following four categories</w:t>
      </w:r>
      <w:r w:rsidR="00576348" w:rsidRPr="00D86C28">
        <w:rPr>
          <w:sz w:val="20"/>
          <w:szCs w:val="20"/>
        </w:rPr>
        <w:t xml:space="preserve">: </w:t>
      </w:r>
    </w:p>
    <w:p w14:paraId="25D3304F" w14:textId="77777777" w:rsidR="00576348" w:rsidRPr="00D86C28" w:rsidRDefault="00576348" w:rsidP="005763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86C28">
        <w:rPr>
          <w:sz w:val="20"/>
          <w:szCs w:val="20"/>
        </w:rPr>
        <w:t>You are a member of the CSU Police Department.</w:t>
      </w:r>
    </w:p>
    <w:p w14:paraId="56B5E23B" w14:textId="77777777" w:rsidR="00576348" w:rsidRPr="00D86C28" w:rsidRDefault="00576348" w:rsidP="005763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86C28">
        <w:rPr>
          <w:sz w:val="20"/>
          <w:szCs w:val="20"/>
        </w:rPr>
        <w:t>You are not a member of the CSU Police Department but are responsible for campus security.</w:t>
      </w:r>
    </w:p>
    <w:p w14:paraId="78CD0CF2" w14:textId="77777777" w:rsidR="00576348" w:rsidRPr="00D86C28" w:rsidRDefault="00576348" w:rsidP="005763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86C28">
        <w:rPr>
          <w:sz w:val="20"/>
          <w:szCs w:val="20"/>
        </w:rPr>
        <w:t xml:space="preserve">You </w:t>
      </w:r>
      <w:r w:rsidR="00DF3043" w:rsidRPr="00D86C28">
        <w:rPr>
          <w:sz w:val="20"/>
          <w:szCs w:val="20"/>
        </w:rPr>
        <w:t>have been designated by CSU as someone to whom crimes should be reported.</w:t>
      </w:r>
      <w:r w:rsidR="00D86C28" w:rsidRPr="00D86C28">
        <w:rPr>
          <w:sz w:val="20"/>
          <w:szCs w:val="20"/>
        </w:rPr>
        <w:t xml:space="preserve"> (e.g., Title IX Coordinator)</w:t>
      </w:r>
    </w:p>
    <w:p w14:paraId="055B5FEC" w14:textId="77777777" w:rsidR="00DF3043" w:rsidRPr="00D86C28" w:rsidRDefault="00DF3043" w:rsidP="00433A49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86C28">
        <w:rPr>
          <w:sz w:val="20"/>
          <w:szCs w:val="20"/>
        </w:rPr>
        <w:t>You are someone with significant responsibility for student and campus activities.</w:t>
      </w:r>
      <w:r w:rsidR="00D86C28" w:rsidRPr="00D86C28">
        <w:rPr>
          <w:sz w:val="20"/>
          <w:szCs w:val="20"/>
        </w:rPr>
        <w:t xml:space="preserve"> (e.g., a director who oversees housing; an athletic director; a facul</w:t>
      </w:r>
      <w:r w:rsidR="005D7D9F">
        <w:rPr>
          <w:sz w:val="20"/>
          <w:szCs w:val="20"/>
        </w:rPr>
        <w:t>ty advisor to a student group or</w:t>
      </w:r>
      <w:r w:rsidR="00D86C28" w:rsidRPr="00D86C28">
        <w:rPr>
          <w:sz w:val="20"/>
          <w:szCs w:val="20"/>
        </w:rPr>
        <w:t xml:space="preserve"> club)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256707" w14:paraId="7A753FEF" w14:textId="77777777" w:rsidTr="00F156FE">
        <w:tc>
          <w:tcPr>
            <w:tcW w:w="10795" w:type="dxa"/>
            <w:shd w:val="clear" w:color="auto" w:fill="C8C372"/>
          </w:tcPr>
          <w:p w14:paraId="166002F8" w14:textId="77777777" w:rsidR="00256707" w:rsidRPr="00256707" w:rsidRDefault="00256707" w:rsidP="00256707">
            <w:pPr>
              <w:jc w:val="center"/>
              <w:rPr>
                <w:b/>
                <w:color w:val="1E4D2B"/>
              </w:rPr>
            </w:pPr>
            <w:r>
              <w:rPr>
                <w:b/>
                <w:color w:val="1E4D2B"/>
              </w:rPr>
              <w:t>CSA RESPONSIBILITIES</w:t>
            </w:r>
          </w:p>
        </w:tc>
      </w:tr>
    </w:tbl>
    <w:p w14:paraId="339F0E5D" w14:textId="77777777" w:rsidR="009F630A" w:rsidRPr="00D86C28" w:rsidRDefault="009F630A" w:rsidP="00F156FE">
      <w:pPr>
        <w:spacing w:before="240"/>
        <w:rPr>
          <w:sz w:val="20"/>
          <w:szCs w:val="20"/>
        </w:rPr>
      </w:pPr>
      <w:r w:rsidRPr="00D86C28">
        <w:rPr>
          <w:sz w:val="20"/>
          <w:szCs w:val="20"/>
        </w:rPr>
        <w:t xml:space="preserve">Immediately dial </w:t>
      </w:r>
      <w:r w:rsidRPr="00D86C28">
        <w:rPr>
          <w:b/>
          <w:sz w:val="20"/>
          <w:szCs w:val="20"/>
        </w:rPr>
        <w:t>911</w:t>
      </w:r>
      <w:r w:rsidRPr="00D86C28">
        <w:rPr>
          <w:sz w:val="20"/>
          <w:szCs w:val="20"/>
        </w:rPr>
        <w:t xml:space="preserve"> in</w:t>
      </w:r>
      <w:r w:rsidR="00456593" w:rsidRPr="00D86C28">
        <w:rPr>
          <w:sz w:val="20"/>
          <w:szCs w:val="20"/>
        </w:rPr>
        <w:t xml:space="preserve"> the event of</w:t>
      </w:r>
      <w:r w:rsidRPr="00D86C28">
        <w:rPr>
          <w:sz w:val="20"/>
          <w:szCs w:val="20"/>
        </w:rPr>
        <w:t xml:space="preserve"> an emergency.</w:t>
      </w:r>
    </w:p>
    <w:p w14:paraId="072A8920" w14:textId="77777777" w:rsidR="00256707" w:rsidRPr="00D86C28" w:rsidRDefault="00256707" w:rsidP="00F156FE">
      <w:pPr>
        <w:spacing w:before="240"/>
        <w:rPr>
          <w:sz w:val="20"/>
          <w:szCs w:val="20"/>
        </w:rPr>
      </w:pPr>
      <w:r w:rsidRPr="00D86C28">
        <w:rPr>
          <w:sz w:val="20"/>
          <w:szCs w:val="20"/>
        </w:rPr>
        <w:t>CSAs are obligated to report any Clery reportable crime</w:t>
      </w:r>
      <w:r w:rsidR="00433A49" w:rsidRPr="00D86C28">
        <w:rPr>
          <w:sz w:val="20"/>
          <w:szCs w:val="20"/>
        </w:rPr>
        <w:t>s that occur</w:t>
      </w:r>
      <w:r w:rsidRPr="00D86C28">
        <w:rPr>
          <w:sz w:val="20"/>
          <w:szCs w:val="20"/>
        </w:rPr>
        <w:t xml:space="preserve"> within Clery geography. You can report in person at Green Hall or by filling out the Clery Crime Report Form </w:t>
      </w:r>
      <w:r w:rsidR="008A5E7F">
        <w:rPr>
          <w:sz w:val="20"/>
          <w:szCs w:val="20"/>
        </w:rPr>
        <w:t xml:space="preserve">located at </w:t>
      </w:r>
      <w:r w:rsidR="00B60C1D">
        <w:rPr>
          <w:sz w:val="20"/>
          <w:szCs w:val="20"/>
        </w:rPr>
        <w:t>safety.colostate.edu/annual-safety-reports-</w:t>
      </w:r>
      <w:proofErr w:type="spellStart"/>
      <w:r w:rsidR="00B60C1D">
        <w:rPr>
          <w:sz w:val="20"/>
          <w:szCs w:val="20"/>
        </w:rPr>
        <w:t>clery</w:t>
      </w:r>
      <w:proofErr w:type="spellEnd"/>
      <w:r w:rsidR="00B60C1D">
        <w:rPr>
          <w:sz w:val="20"/>
          <w:szCs w:val="20"/>
        </w:rPr>
        <w:t>-act/.</w:t>
      </w:r>
    </w:p>
    <w:p w14:paraId="71E8F578" w14:textId="77777777" w:rsidR="00256707" w:rsidRPr="00D86C28" w:rsidRDefault="00256707" w:rsidP="00256707">
      <w:pPr>
        <w:rPr>
          <w:sz w:val="20"/>
          <w:szCs w:val="20"/>
        </w:rPr>
      </w:pPr>
      <w:r w:rsidRPr="00D86C28">
        <w:rPr>
          <w:sz w:val="20"/>
          <w:szCs w:val="20"/>
        </w:rPr>
        <w:t>Keep in mind:</w:t>
      </w:r>
    </w:p>
    <w:p w14:paraId="1004ACF5" w14:textId="77777777" w:rsidR="00256707" w:rsidRPr="00D86C28" w:rsidRDefault="00256707" w:rsidP="0025670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86C28">
        <w:rPr>
          <w:sz w:val="20"/>
          <w:szCs w:val="20"/>
        </w:rPr>
        <w:t>You are NOT required or expected to investigate.</w:t>
      </w:r>
    </w:p>
    <w:p w14:paraId="16BD8562" w14:textId="77777777" w:rsidR="00256707" w:rsidRPr="00D86C28" w:rsidRDefault="00D30EE0" w:rsidP="0025670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86C28">
        <w:rPr>
          <w:sz w:val="20"/>
          <w:szCs w:val="20"/>
        </w:rPr>
        <w:t xml:space="preserve">You are NOT a confidential </w:t>
      </w:r>
      <w:proofErr w:type="gramStart"/>
      <w:r w:rsidRPr="00D86C28">
        <w:rPr>
          <w:sz w:val="20"/>
          <w:szCs w:val="20"/>
        </w:rPr>
        <w:t>resource</w:t>
      </w:r>
      <w:proofErr w:type="gramEnd"/>
      <w:r w:rsidRPr="00D86C28">
        <w:rPr>
          <w:sz w:val="20"/>
          <w:szCs w:val="20"/>
        </w:rPr>
        <w:t xml:space="preserve"> but </w:t>
      </w:r>
      <w:r w:rsidR="00D86C28" w:rsidRPr="00D86C28">
        <w:rPr>
          <w:sz w:val="20"/>
          <w:szCs w:val="20"/>
        </w:rPr>
        <w:t>you can direct others to confidential services such as the Counseling Center.</w:t>
      </w:r>
    </w:p>
    <w:p w14:paraId="2739C3D7" w14:textId="77777777" w:rsidR="00BF31EC" w:rsidRDefault="00D30EE0" w:rsidP="0025670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86C28">
        <w:rPr>
          <w:sz w:val="20"/>
          <w:szCs w:val="20"/>
        </w:rPr>
        <w:t xml:space="preserve">You are encouraged to assist the victim in reporting. </w:t>
      </w:r>
    </w:p>
    <w:p w14:paraId="7F0627D2" w14:textId="77777777" w:rsidR="00D30EE0" w:rsidRPr="00D86C28" w:rsidRDefault="00D30EE0" w:rsidP="00BF31EC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86C28">
        <w:rPr>
          <w:sz w:val="20"/>
          <w:szCs w:val="20"/>
          <w:u w:val="single"/>
        </w:rPr>
        <w:t xml:space="preserve">A victim can choose not to </w:t>
      </w:r>
      <w:proofErr w:type="gramStart"/>
      <w:r w:rsidR="00BF31EC">
        <w:rPr>
          <w:sz w:val="20"/>
          <w:szCs w:val="20"/>
          <w:u w:val="single"/>
        </w:rPr>
        <w:t>report,</w:t>
      </w:r>
      <w:proofErr w:type="gramEnd"/>
      <w:r w:rsidRPr="00D86C28">
        <w:rPr>
          <w:sz w:val="20"/>
          <w:szCs w:val="20"/>
          <w:u w:val="single"/>
        </w:rPr>
        <w:t xml:space="preserve"> </w:t>
      </w:r>
      <w:r w:rsidR="00BF31EC">
        <w:rPr>
          <w:sz w:val="20"/>
          <w:szCs w:val="20"/>
          <w:u w:val="single"/>
        </w:rPr>
        <w:t>however</w:t>
      </w:r>
      <w:r w:rsidRPr="00D86C28">
        <w:rPr>
          <w:sz w:val="20"/>
          <w:szCs w:val="20"/>
          <w:u w:val="single"/>
        </w:rPr>
        <w:t xml:space="preserve"> a CSA is still obligated to report.</w:t>
      </w:r>
    </w:p>
    <w:p w14:paraId="50D3665D" w14:textId="77777777" w:rsidR="00D30EE0" w:rsidRPr="00D86C28" w:rsidRDefault="00D30EE0" w:rsidP="00433A49">
      <w:pPr>
        <w:pStyle w:val="ListParagraph"/>
        <w:keepLines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D86C28">
        <w:rPr>
          <w:sz w:val="20"/>
          <w:szCs w:val="20"/>
        </w:rPr>
        <w:t>Reports should be made as soon as possible. We have a responsibility to notify our campus community within a reasonable time frame about</w:t>
      </w:r>
      <w:r w:rsidR="00A20D55" w:rsidRPr="00D86C28">
        <w:rPr>
          <w:sz w:val="20"/>
          <w:szCs w:val="20"/>
        </w:rPr>
        <w:t xml:space="preserve"> any situation</w:t>
      </w:r>
      <w:r w:rsidRPr="00D86C28">
        <w:rPr>
          <w:sz w:val="20"/>
          <w:szCs w:val="20"/>
        </w:rPr>
        <w:t xml:space="preserve"> that may impact health and safety.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61D8" w14:paraId="4D2B5F20" w14:textId="77777777" w:rsidTr="00D661D8">
        <w:tc>
          <w:tcPr>
            <w:tcW w:w="10790" w:type="dxa"/>
            <w:shd w:val="clear" w:color="auto" w:fill="C8C372"/>
          </w:tcPr>
          <w:p w14:paraId="20E683A4" w14:textId="77777777" w:rsidR="00D661D8" w:rsidRPr="00D661D8" w:rsidRDefault="00D661D8" w:rsidP="00D661D8">
            <w:pPr>
              <w:jc w:val="center"/>
              <w:rPr>
                <w:color w:val="1E4D2B"/>
              </w:rPr>
            </w:pPr>
            <w:r>
              <w:rPr>
                <w:b/>
                <w:color w:val="1E4D2B"/>
              </w:rPr>
              <w:t>CLERY CRIMES</w:t>
            </w:r>
          </w:p>
        </w:tc>
      </w:tr>
    </w:tbl>
    <w:p w14:paraId="7BEA37C0" w14:textId="77777777" w:rsidR="000B3EA4" w:rsidRPr="00D86C28" w:rsidRDefault="00D661D8" w:rsidP="000B3EA4">
      <w:pPr>
        <w:spacing w:before="240" w:line="276" w:lineRule="auto"/>
        <w:rPr>
          <w:sz w:val="20"/>
          <w:szCs w:val="20"/>
        </w:rPr>
      </w:pPr>
      <w:r w:rsidRPr="00D86C28">
        <w:rPr>
          <w:sz w:val="20"/>
          <w:szCs w:val="20"/>
        </w:rPr>
        <w:t>The crimes listed below are</w:t>
      </w:r>
      <w:r w:rsidR="000B3EA4" w:rsidRPr="00D86C28">
        <w:rPr>
          <w:sz w:val="20"/>
          <w:szCs w:val="20"/>
        </w:rPr>
        <w:t xml:space="preserve"> the</w:t>
      </w:r>
      <w:r w:rsidR="000C07FA" w:rsidRPr="00D86C28">
        <w:rPr>
          <w:sz w:val="20"/>
          <w:szCs w:val="20"/>
        </w:rPr>
        <w:t xml:space="preserve"> crimes</w:t>
      </w:r>
      <w:r w:rsidR="00F0306A" w:rsidRPr="00D86C28">
        <w:rPr>
          <w:sz w:val="20"/>
          <w:szCs w:val="20"/>
        </w:rPr>
        <w:t xml:space="preserve"> that are</w:t>
      </w:r>
      <w:r w:rsidR="000B3EA4" w:rsidRPr="00D86C28">
        <w:rPr>
          <w:sz w:val="20"/>
          <w:szCs w:val="20"/>
        </w:rPr>
        <w:t xml:space="preserve"> required </w:t>
      </w:r>
      <w:r w:rsidR="000C07FA" w:rsidRPr="00D86C28">
        <w:rPr>
          <w:sz w:val="20"/>
          <w:szCs w:val="20"/>
        </w:rPr>
        <w:t>to be reported by the Clery Act</w:t>
      </w:r>
      <w:r w:rsidRPr="00D86C28">
        <w:rPr>
          <w:sz w:val="20"/>
          <w:szCs w:val="20"/>
        </w:rPr>
        <w:t xml:space="preserve">. If you have any questions regarding a crime, location, or reporting requirements contact </w:t>
      </w:r>
      <w:r w:rsidR="000C07FA" w:rsidRPr="00D86C28">
        <w:rPr>
          <w:sz w:val="20"/>
          <w:szCs w:val="20"/>
        </w:rPr>
        <w:t>Josh McClure at the CSUPD</w:t>
      </w:r>
      <w:r w:rsidRPr="00D86C28">
        <w:rPr>
          <w:sz w:val="20"/>
          <w:szCs w:val="20"/>
        </w:rPr>
        <w:t>. When in doubt, report.</w:t>
      </w:r>
    </w:p>
    <w:p w14:paraId="0A37501D" w14:textId="77777777" w:rsidR="00EB78F5" w:rsidRDefault="00425D8C" w:rsidP="009727D8">
      <w:pPr>
        <w:spacing w:before="240"/>
        <w:jc w:val="center"/>
      </w:pPr>
      <w:r>
        <w:rPr>
          <w:noProof/>
        </w:rPr>
        <w:drawing>
          <wp:inline distT="0" distB="0" distL="0" distR="0" wp14:anchorId="35D04140" wp14:editId="5454A5AA">
            <wp:extent cx="5036186" cy="21593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186" cy="215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433A49" w:rsidRDefault="00433A49" w:rsidP="00D86C28">
      <w:pPr>
        <w:spacing w:before="240"/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306EAE" w14:paraId="42613293" w14:textId="77777777" w:rsidTr="00CB7E1D">
        <w:trPr>
          <w:trHeight w:val="259"/>
        </w:trPr>
        <w:tc>
          <w:tcPr>
            <w:tcW w:w="10790" w:type="dxa"/>
            <w:shd w:val="clear" w:color="auto" w:fill="C8C372"/>
            <w:vAlign w:val="center"/>
          </w:tcPr>
          <w:p w14:paraId="0B15715F" w14:textId="77777777" w:rsidR="00306EAE" w:rsidRPr="00CB7E1D" w:rsidRDefault="00CB7E1D" w:rsidP="00CB7E1D">
            <w:pPr>
              <w:jc w:val="center"/>
              <w:rPr>
                <w:b/>
                <w:color w:val="1E4D2B"/>
              </w:rPr>
            </w:pPr>
            <w:r w:rsidRPr="00CB7E1D">
              <w:rPr>
                <w:b/>
                <w:color w:val="1E4D2B"/>
              </w:rPr>
              <w:t>CLERY GEOGRAPHY</w:t>
            </w:r>
          </w:p>
        </w:tc>
      </w:tr>
    </w:tbl>
    <w:p w14:paraId="648AFEDB" w14:textId="77777777" w:rsidR="00EB78F5" w:rsidRPr="005A56ED" w:rsidRDefault="00565BAF" w:rsidP="009C50F1">
      <w:pPr>
        <w:spacing w:before="240"/>
        <w:rPr>
          <w:sz w:val="20"/>
          <w:szCs w:val="20"/>
        </w:rPr>
      </w:pPr>
      <w:r w:rsidRPr="005A56ED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7A8BE66" wp14:editId="07777777">
            <wp:simplePos x="0" y="0"/>
            <wp:positionH relativeFrom="column">
              <wp:posOffset>3039531</wp:posOffset>
            </wp:positionH>
            <wp:positionV relativeFrom="paragraph">
              <wp:posOffset>72394</wp:posOffset>
            </wp:positionV>
            <wp:extent cx="3282696" cy="335534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ery Map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696" cy="3355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0F1" w:rsidRPr="005A56ED">
        <w:rPr>
          <w:sz w:val="20"/>
          <w:szCs w:val="20"/>
        </w:rPr>
        <w:t>CSU Clery geography: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9C50F1" w:rsidRPr="005A56ED" w14:paraId="051FA502" w14:textId="77777777" w:rsidTr="00CF282B">
        <w:tc>
          <w:tcPr>
            <w:tcW w:w="4500" w:type="dxa"/>
          </w:tcPr>
          <w:p w14:paraId="79E011E9" w14:textId="77777777" w:rsidR="009C50F1" w:rsidRPr="005A56ED" w:rsidRDefault="009C50F1" w:rsidP="00CF282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A56ED">
              <w:rPr>
                <w:sz w:val="20"/>
                <w:szCs w:val="20"/>
              </w:rPr>
              <w:t>On-Campus Property</w:t>
            </w:r>
          </w:p>
          <w:p w14:paraId="7B93135C" w14:textId="77777777" w:rsidR="009C50F1" w:rsidRPr="005A56ED" w:rsidRDefault="009C50F1" w:rsidP="00CF282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A56ED">
              <w:rPr>
                <w:sz w:val="20"/>
                <w:szCs w:val="20"/>
              </w:rPr>
              <w:t>Main and South Campus</w:t>
            </w:r>
          </w:p>
          <w:p w14:paraId="17888751" w14:textId="77777777" w:rsidR="009C50F1" w:rsidRPr="005A56ED" w:rsidRDefault="00CF282B" w:rsidP="00CF282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A56ED">
              <w:rPr>
                <w:sz w:val="20"/>
                <w:szCs w:val="20"/>
              </w:rPr>
              <w:t>Reasonably contiguous e</w:t>
            </w:r>
            <w:r w:rsidR="009C50F1" w:rsidRPr="005A56ED">
              <w:rPr>
                <w:sz w:val="20"/>
                <w:szCs w:val="20"/>
              </w:rPr>
              <w:t>xtended locations (HSBC, UV, IH)</w:t>
            </w:r>
          </w:p>
          <w:p w14:paraId="098370F9" w14:textId="77777777" w:rsidR="009C50F1" w:rsidRPr="005A56ED" w:rsidRDefault="009C50F1" w:rsidP="00142E0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A56ED">
              <w:rPr>
                <w:sz w:val="20"/>
                <w:szCs w:val="20"/>
              </w:rPr>
              <w:t>All</w:t>
            </w:r>
            <w:r w:rsidR="00CF282B" w:rsidRPr="005A56ED">
              <w:rPr>
                <w:sz w:val="20"/>
                <w:szCs w:val="20"/>
              </w:rPr>
              <w:t xml:space="preserve"> residence halls and </w:t>
            </w:r>
            <w:r w:rsidR="00142E0A" w:rsidRPr="005A56ED">
              <w:rPr>
                <w:sz w:val="20"/>
                <w:szCs w:val="20"/>
              </w:rPr>
              <w:t>CSU owned</w:t>
            </w:r>
            <w:r w:rsidR="00CF282B" w:rsidRPr="005A56ED">
              <w:rPr>
                <w:sz w:val="20"/>
                <w:szCs w:val="20"/>
              </w:rPr>
              <w:t xml:space="preserve"> apartments</w:t>
            </w:r>
          </w:p>
        </w:tc>
      </w:tr>
      <w:tr w:rsidR="009C50F1" w:rsidRPr="005A56ED" w14:paraId="5C2B016E" w14:textId="77777777" w:rsidTr="00CF282B">
        <w:tc>
          <w:tcPr>
            <w:tcW w:w="4500" w:type="dxa"/>
          </w:tcPr>
          <w:p w14:paraId="49D26648" w14:textId="77777777" w:rsidR="009C50F1" w:rsidRPr="005A56ED" w:rsidRDefault="00CF282B" w:rsidP="00CF282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A56ED">
              <w:rPr>
                <w:sz w:val="20"/>
                <w:szCs w:val="20"/>
              </w:rPr>
              <w:t>Non-Campus Property</w:t>
            </w:r>
          </w:p>
          <w:p w14:paraId="7E5FC333" w14:textId="77777777" w:rsidR="00CF282B" w:rsidRPr="005A56ED" w:rsidRDefault="00CF282B" w:rsidP="00CF282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A56ED">
              <w:rPr>
                <w:sz w:val="20"/>
                <w:szCs w:val="20"/>
              </w:rPr>
              <w:t>CSU Mountain Campus</w:t>
            </w:r>
          </w:p>
          <w:p w14:paraId="06329242" w14:textId="77777777" w:rsidR="00CF282B" w:rsidRPr="005A56ED" w:rsidRDefault="00CF282B" w:rsidP="00CF282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A56ED">
              <w:rPr>
                <w:sz w:val="20"/>
                <w:szCs w:val="20"/>
              </w:rPr>
              <w:t>West Campus</w:t>
            </w:r>
          </w:p>
          <w:p w14:paraId="10421A0F" w14:textId="77777777" w:rsidR="00CF282B" w:rsidRPr="005A56ED" w:rsidRDefault="00CF282B" w:rsidP="00CF282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A56ED">
              <w:rPr>
                <w:sz w:val="20"/>
                <w:szCs w:val="20"/>
              </w:rPr>
              <w:t>All out of city/state properties</w:t>
            </w:r>
          </w:p>
          <w:p w14:paraId="2095D2E8" w14:textId="77777777" w:rsidR="00CF282B" w:rsidRPr="005A56ED" w:rsidRDefault="000B3165" w:rsidP="00CF282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A56ED">
              <w:rPr>
                <w:sz w:val="20"/>
                <w:szCs w:val="20"/>
              </w:rPr>
              <w:t>Hughes Stadium p</w:t>
            </w:r>
            <w:r w:rsidR="00CF282B" w:rsidRPr="005A56ED">
              <w:rPr>
                <w:sz w:val="20"/>
                <w:szCs w:val="20"/>
              </w:rPr>
              <w:t>roperty</w:t>
            </w:r>
          </w:p>
          <w:p w14:paraId="6C8768B8" w14:textId="77777777" w:rsidR="00CF282B" w:rsidRPr="005A56ED" w:rsidRDefault="00CF282B" w:rsidP="00CF282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A56ED">
              <w:rPr>
                <w:sz w:val="20"/>
                <w:szCs w:val="20"/>
              </w:rPr>
              <w:t>Northern Hotel</w:t>
            </w:r>
          </w:p>
        </w:tc>
      </w:tr>
      <w:tr w:rsidR="009C50F1" w:rsidRPr="005A56ED" w14:paraId="6B8A559D" w14:textId="77777777" w:rsidTr="005A56ED">
        <w:trPr>
          <w:trHeight w:val="436"/>
        </w:trPr>
        <w:tc>
          <w:tcPr>
            <w:tcW w:w="4500" w:type="dxa"/>
          </w:tcPr>
          <w:p w14:paraId="64954C4D" w14:textId="77777777" w:rsidR="009C50F1" w:rsidRPr="005A56ED" w:rsidRDefault="00CF282B" w:rsidP="00CF282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A56ED">
              <w:rPr>
                <w:sz w:val="20"/>
                <w:szCs w:val="20"/>
              </w:rPr>
              <w:t>Public Property</w:t>
            </w:r>
          </w:p>
          <w:p w14:paraId="73DAC081" w14:textId="77777777" w:rsidR="00CF282B" w:rsidRPr="005A56ED" w:rsidRDefault="00CF282B" w:rsidP="00CF282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A56ED">
              <w:rPr>
                <w:sz w:val="20"/>
                <w:szCs w:val="20"/>
              </w:rPr>
              <w:t>Thoroughfares, streets, and sidewalks, within or immediately adjacent to and accessible from campus.</w:t>
            </w:r>
          </w:p>
        </w:tc>
      </w:tr>
    </w:tbl>
    <w:p w14:paraId="02EB378F" w14:textId="77777777" w:rsidR="00142E0A" w:rsidRDefault="00CF282B" w:rsidP="00142E0A">
      <w:pPr>
        <w:spacing w:before="240"/>
        <w:jc w:val="right"/>
      </w:pPr>
      <w:r>
        <w:br w:type="textWrapping" w:clear="all"/>
      </w:r>
    </w:p>
    <w:p w14:paraId="6A05A809" w14:textId="77777777" w:rsidR="005A56ED" w:rsidRDefault="005A56ED" w:rsidP="00142E0A">
      <w:pPr>
        <w:spacing w:before="240"/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42E0A" w14:paraId="4D8A4429" w14:textId="77777777" w:rsidTr="00142E0A">
        <w:tc>
          <w:tcPr>
            <w:tcW w:w="10790" w:type="dxa"/>
            <w:shd w:val="clear" w:color="auto" w:fill="C8C372"/>
          </w:tcPr>
          <w:p w14:paraId="5F6CCA49" w14:textId="77777777" w:rsidR="00142E0A" w:rsidRPr="000E5D12" w:rsidRDefault="00142E0A" w:rsidP="00142E0A">
            <w:pPr>
              <w:jc w:val="center"/>
              <w:rPr>
                <w:b/>
                <w:color w:val="1E4D2B"/>
              </w:rPr>
            </w:pPr>
            <w:r w:rsidRPr="000E5D12">
              <w:rPr>
                <w:b/>
                <w:color w:val="1E4D2B"/>
              </w:rPr>
              <w:t>TITLE IX AND THE CLERY ACT</w:t>
            </w:r>
          </w:p>
        </w:tc>
      </w:tr>
    </w:tbl>
    <w:p w14:paraId="15C5DCC7" w14:textId="77777777" w:rsidR="00142E0A" w:rsidRPr="005A56ED" w:rsidRDefault="00142E0A" w:rsidP="00142E0A">
      <w:pPr>
        <w:spacing w:before="240"/>
        <w:rPr>
          <w:sz w:val="20"/>
          <w:szCs w:val="20"/>
        </w:rPr>
      </w:pPr>
      <w:r w:rsidRPr="005A56ED">
        <w:rPr>
          <w:sz w:val="20"/>
          <w:szCs w:val="20"/>
        </w:rPr>
        <w:t>Title IX and the Clery Act are two separate federal laws that both address sexual violence. Below is a chart to clarify the differences and reporting requirements of these laws.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130"/>
        <w:gridCol w:w="4045"/>
      </w:tblGrid>
      <w:tr w:rsidR="00142E0A" w14:paraId="617809BD" w14:textId="77777777" w:rsidTr="007562CC">
        <w:trPr>
          <w:trHeight w:val="323"/>
        </w:trPr>
        <w:tc>
          <w:tcPr>
            <w:tcW w:w="1615" w:type="dxa"/>
            <w:shd w:val="clear" w:color="auto" w:fill="E7E6E6" w:themeFill="background2"/>
            <w:vAlign w:val="center"/>
          </w:tcPr>
          <w:p w14:paraId="5A39BBE3" w14:textId="77777777" w:rsidR="00142E0A" w:rsidRDefault="00142E0A" w:rsidP="00B54E79">
            <w:pPr>
              <w:jc w:val="center"/>
            </w:pPr>
          </w:p>
        </w:tc>
        <w:tc>
          <w:tcPr>
            <w:tcW w:w="5130" w:type="dxa"/>
            <w:shd w:val="clear" w:color="auto" w:fill="E7E6E6" w:themeFill="background2"/>
            <w:vAlign w:val="center"/>
          </w:tcPr>
          <w:p w14:paraId="181CE268" w14:textId="77777777" w:rsidR="00142E0A" w:rsidRPr="00B54E79" w:rsidRDefault="00142E0A" w:rsidP="00B54E79">
            <w:pPr>
              <w:jc w:val="center"/>
              <w:rPr>
                <w:b/>
              </w:rPr>
            </w:pPr>
            <w:r w:rsidRPr="00B54E79">
              <w:rPr>
                <w:b/>
              </w:rPr>
              <w:t>Title IX</w:t>
            </w:r>
          </w:p>
        </w:tc>
        <w:tc>
          <w:tcPr>
            <w:tcW w:w="4045" w:type="dxa"/>
            <w:shd w:val="clear" w:color="auto" w:fill="E7E6E6" w:themeFill="background2"/>
            <w:vAlign w:val="center"/>
          </w:tcPr>
          <w:p w14:paraId="4DF17AC2" w14:textId="77777777" w:rsidR="00142E0A" w:rsidRPr="00B54E79" w:rsidRDefault="00142E0A" w:rsidP="00B54E79">
            <w:pPr>
              <w:jc w:val="center"/>
              <w:rPr>
                <w:b/>
              </w:rPr>
            </w:pPr>
            <w:r w:rsidRPr="00B54E79">
              <w:rPr>
                <w:b/>
              </w:rPr>
              <w:t>Clery Act</w:t>
            </w:r>
          </w:p>
        </w:tc>
      </w:tr>
      <w:tr w:rsidR="00142E0A" w14:paraId="39E58D33" w14:textId="77777777" w:rsidTr="007562CC">
        <w:tc>
          <w:tcPr>
            <w:tcW w:w="1615" w:type="dxa"/>
            <w:shd w:val="clear" w:color="auto" w:fill="E7E6E6" w:themeFill="background2"/>
            <w:vAlign w:val="center"/>
          </w:tcPr>
          <w:p w14:paraId="467338D8" w14:textId="77777777" w:rsidR="00142E0A" w:rsidRPr="00B54E79" w:rsidRDefault="00142E0A" w:rsidP="00B54E79">
            <w:pPr>
              <w:jc w:val="center"/>
              <w:rPr>
                <w:b/>
              </w:rPr>
            </w:pPr>
            <w:r w:rsidRPr="00B54E79">
              <w:rPr>
                <w:b/>
              </w:rPr>
              <w:t>Titles</w:t>
            </w:r>
          </w:p>
        </w:tc>
        <w:tc>
          <w:tcPr>
            <w:tcW w:w="5130" w:type="dxa"/>
            <w:vAlign w:val="center"/>
          </w:tcPr>
          <w:p w14:paraId="57CE5743" w14:textId="77777777" w:rsidR="00142E0A" w:rsidRPr="00565BAF" w:rsidRDefault="007562CC" w:rsidP="00B54E79">
            <w:pPr>
              <w:jc w:val="center"/>
              <w:rPr>
                <w:sz w:val="17"/>
                <w:szCs w:val="17"/>
              </w:rPr>
            </w:pPr>
            <w:r w:rsidRPr="00565BAF">
              <w:rPr>
                <w:sz w:val="17"/>
                <w:szCs w:val="17"/>
              </w:rPr>
              <w:t>All CSU employees and volunteers, including faculty, staff, and students acting in thei</w:t>
            </w:r>
            <w:r w:rsidR="005720E9" w:rsidRPr="00565BAF">
              <w:rPr>
                <w:sz w:val="17"/>
                <w:szCs w:val="17"/>
              </w:rPr>
              <w:t>r employment or volunteer roles</w:t>
            </w:r>
            <w:r w:rsidRPr="00565BAF">
              <w:rPr>
                <w:sz w:val="17"/>
                <w:szCs w:val="17"/>
              </w:rPr>
              <w:t xml:space="preserve"> </w:t>
            </w:r>
            <w:r w:rsidR="005720E9" w:rsidRPr="00565BAF">
              <w:rPr>
                <w:sz w:val="17"/>
                <w:szCs w:val="17"/>
              </w:rPr>
              <w:t xml:space="preserve">are </w:t>
            </w:r>
            <w:r w:rsidR="005720E9" w:rsidRPr="00565BAF">
              <w:rPr>
                <w:b/>
                <w:sz w:val="17"/>
                <w:szCs w:val="17"/>
              </w:rPr>
              <w:t>Responsible Employees</w:t>
            </w:r>
            <w:r w:rsidR="005720E9" w:rsidRPr="00565BAF">
              <w:rPr>
                <w:sz w:val="17"/>
                <w:szCs w:val="17"/>
              </w:rPr>
              <w:t xml:space="preserve">, meaning they are </w:t>
            </w:r>
            <w:r w:rsidRPr="00565BAF">
              <w:rPr>
                <w:sz w:val="17"/>
                <w:szCs w:val="17"/>
              </w:rPr>
              <w:t>mandatory reporters of any violations or all</w:t>
            </w:r>
            <w:r w:rsidR="001D1945">
              <w:rPr>
                <w:sz w:val="17"/>
                <w:szCs w:val="17"/>
              </w:rPr>
              <w:t xml:space="preserve">eged violations of Title IX. </w:t>
            </w:r>
            <w:r w:rsidR="001D1945" w:rsidRPr="001D1945">
              <w:rPr>
                <w:b/>
                <w:sz w:val="17"/>
                <w:szCs w:val="17"/>
              </w:rPr>
              <w:t>Responsible Employees</w:t>
            </w:r>
            <w:r w:rsidRPr="00565BAF">
              <w:rPr>
                <w:sz w:val="17"/>
                <w:szCs w:val="17"/>
              </w:rPr>
              <w:t xml:space="preserve"> are required to make those reports to the </w:t>
            </w:r>
            <w:r w:rsidR="005720E9" w:rsidRPr="00565BAF">
              <w:rPr>
                <w:sz w:val="17"/>
                <w:szCs w:val="17"/>
              </w:rPr>
              <w:t>Office of Support and Safety Assessment</w:t>
            </w:r>
            <w:r w:rsidRPr="00565BAF">
              <w:rPr>
                <w:sz w:val="17"/>
                <w:szCs w:val="17"/>
              </w:rPr>
              <w:t xml:space="preserve"> within 24 hours of knowledge of incident. Those exempt only include licensed healt</w:t>
            </w:r>
            <w:r w:rsidR="0060171D">
              <w:rPr>
                <w:sz w:val="17"/>
                <w:szCs w:val="17"/>
              </w:rPr>
              <w:t>hcare professionals and victim</w:t>
            </w:r>
            <w:r w:rsidRPr="00565BAF">
              <w:rPr>
                <w:sz w:val="17"/>
                <w:szCs w:val="17"/>
              </w:rPr>
              <w:t xml:space="preserve"> advocates.</w:t>
            </w:r>
          </w:p>
        </w:tc>
        <w:tc>
          <w:tcPr>
            <w:tcW w:w="4045" w:type="dxa"/>
            <w:vAlign w:val="center"/>
          </w:tcPr>
          <w:p w14:paraId="405AC5F5" w14:textId="77777777" w:rsidR="00142E0A" w:rsidRPr="00565BAF" w:rsidRDefault="00142E0A" w:rsidP="00B54E79">
            <w:pPr>
              <w:jc w:val="center"/>
              <w:rPr>
                <w:sz w:val="17"/>
                <w:szCs w:val="17"/>
              </w:rPr>
            </w:pPr>
            <w:r w:rsidRPr="00565BAF">
              <w:rPr>
                <w:sz w:val="17"/>
                <w:szCs w:val="17"/>
              </w:rPr>
              <w:t xml:space="preserve">Only Individuals who meet the federal definition are </w:t>
            </w:r>
            <w:r w:rsidRPr="00565BAF">
              <w:rPr>
                <w:b/>
                <w:sz w:val="17"/>
                <w:szCs w:val="17"/>
              </w:rPr>
              <w:t>Campus Security Authorities</w:t>
            </w:r>
            <w:r w:rsidRPr="00565BAF">
              <w:rPr>
                <w:sz w:val="17"/>
                <w:szCs w:val="17"/>
              </w:rPr>
              <w:t>.</w:t>
            </w:r>
          </w:p>
        </w:tc>
      </w:tr>
      <w:tr w:rsidR="00142E0A" w14:paraId="7AD1681D" w14:textId="77777777" w:rsidTr="007562CC">
        <w:tc>
          <w:tcPr>
            <w:tcW w:w="1615" w:type="dxa"/>
            <w:shd w:val="clear" w:color="auto" w:fill="E7E6E6" w:themeFill="background2"/>
            <w:vAlign w:val="center"/>
          </w:tcPr>
          <w:p w14:paraId="6C0E1DE5" w14:textId="77777777" w:rsidR="00142E0A" w:rsidRPr="00B54E79" w:rsidRDefault="00142E0A" w:rsidP="00B54E79">
            <w:pPr>
              <w:jc w:val="center"/>
              <w:rPr>
                <w:b/>
              </w:rPr>
            </w:pPr>
            <w:r w:rsidRPr="00B54E79">
              <w:rPr>
                <w:b/>
              </w:rPr>
              <w:t>Overview</w:t>
            </w:r>
          </w:p>
        </w:tc>
        <w:tc>
          <w:tcPr>
            <w:tcW w:w="5130" w:type="dxa"/>
            <w:vAlign w:val="center"/>
          </w:tcPr>
          <w:p w14:paraId="3C40A96A" w14:textId="77777777" w:rsidR="00142E0A" w:rsidRPr="00565BAF" w:rsidRDefault="007562CC" w:rsidP="00B54E79">
            <w:pPr>
              <w:jc w:val="center"/>
              <w:rPr>
                <w:sz w:val="17"/>
                <w:szCs w:val="17"/>
              </w:rPr>
            </w:pPr>
            <w:r w:rsidRPr="00565BAF">
              <w:rPr>
                <w:sz w:val="17"/>
                <w:szCs w:val="17"/>
              </w:rPr>
              <w:t xml:space="preserve">Title IX is concerned with </w:t>
            </w:r>
            <w:r w:rsidRPr="00565BAF">
              <w:rPr>
                <w:b/>
                <w:sz w:val="17"/>
                <w:szCs w:val="17"/>
              </w:rPr>
              <w:t>any</w:t>
            </w:r>
            <w:r w:rsidRPr="00565BAF">
              <w:rPr>
                <w:sz w:val="17"/>
                <w:szCs w:val="17"/>
              </w:rPr>
              <w:t xml:space="preserve"> incident of sex-based discrimination that occurs whether it involves a student, faculty, staff member, or guest of CSU. If the incident is made known by a Responsible Employee, it is required to be reported regardless of when or where the incident occurred. Resources are available for any party.</w:t>
            </w:r>
          </w:p>
        </w:tc>
        <w:tc>
          <w:tcPr>
            <w:tcW w:w="4045" w:type="dxa"/>
            <w:vAlign w:val="center"/>
          </w:tcPr>
          <w:p w14:paraId="298BA89E" w14:textId="77777777" w:rsidR="00142E0A" w:rsidRPr="00565BAF" w:rsidRDefault="00B54E79" w:rsidP="00B54E79">
            <w:pPr>
              <w:jc w:val="center"/>
              <w:rPr>
                <w:sz w:val="17"/>
                <w:szCs w:val="17"/>
              </w:rPr>
            </w:pPr>
            <w:r w:rsidRPr="00565BAF">
              <w:rPr>
                <w:sz w:val="17"/>
                <w:szCs w:val="17"/>
              </w:rPr>
              <w:t xml:space="preserve">Clery is concerned with </w:t>
            </w:r>
            <w:r w:rsidRPr="00565BAF">
              <w:rPr>
                <w:b/>
                <w:sz w:val="17"/>
                <w:szCs w:val="17"/>
              </w:rPr>
              <w:t>where</w:t>
            </w:r>
            <w:r w:rsidRPr="00565BAF">
              <w:rPr>
                <w:sz w:val="17"/>
                <w:szCs w:val="17"/>
              </w:rPr>
              <w:t xml:space="preserve"> and </w:t>
            </w:r>
            <w:r w:rsidRPr="00565BAF">
              <w:rPr>
                <w:b/>
                <w:sz w:val="17"/>
                <w:szCs w:val="17"/>
              </w:rPr>
              <w:t>what</w:t>
            </w:r>
            <w:r w:rsidRPr="00565BAF">
              <w:rPr>
                <w:sz w:val="17"/>
                <w:szCs w:val="17"/>
              </w:rPr>
              <w:t xml:space="preserve"> crime occurred.</w:t>
            </w:r>
          </w:p>
          <w:p w14:paraId="6D097359" w14:textId="77777777" w:rsidR="00B54E79" w:rsidRPr="00565BAF" w:rsidRDefault="00B54E79" w:rsidP="00B54E79">
            <w:pPr>
              <w:jc w:val="center"/>
              <w:rPr>
                <w:sz w:val="17"/>
                <w:szCs w:val="17"/>
              </w:rPr>
            </w:pPr>
            <w:r w:rsidRPr="00565BAF">
              <w:rPr>
                <w:sz w:val="17"/>
                <w:szCs w:val="17"/>
              </w:rPr>
              <w:t xml:space="preserve">If a </w:t>
            </w:r>
            <w:r w:rsidRPr="00565BAF">
              <w:rPr>
                <w:b/>
                <w:sz w:val="17"/>
                <w:szCs w:val="17"/>
              </w:rPr>
              <w:t>Clery crime</w:t>
            </w:r>
            <w:r w:rsidRPr="00565BAF">
              <w:rPr>
                <w:sz w:val="17"/>
                <w:szCs w:val="17"/>
              </w:rPr>
              <w:t xml:space="preserve"> occurs within </w:t>
            </w:r>
            <w:r w:rsidRPr="00565BAF">
              <w:rPr>
                <w:b/>
                <w:sz w:val="17"/>
                <w:szCs w:val="17"/>
              </w:rPr>
              <w:t>Clery Geography</w:t>
            </w:r>
            <w:r w:rsidRPr="00565BAF">
              <w:rPr>
                <w:sz w:val="17"/>
                <w:szCs w:val="17"/>
              </w:rPr>
              <w:t xml:space="preserve">, it should be reported </w:t>
            </w:r>
            <w:proofErr w:type="gramStart"/>
            <w:r w:rsidRPr="00565BAF">
              <w:rPr>
                <w:sz w:val="17"/>
                <w:szCs w:val="17"/>
              </w:rPr>
              <w:t>whether or not</w:t>
            </w:r>
            <w:proofErr w:type="gramEnd"/>
            <w:r w:rsidRPr="00565BAF">
              <w:rPr>
                <w:sz w:val="17"/>
                <w:szCs w:val="17"/>
              </w:rPr>
              <w:t xml:space="preserve"> the victim/perpetrator is affiliated with the university.</w:t>
            </w:r>
          </w:p>
        </w:tc>
      </w:tr>
      <w:tr w:rsidR="00B54E79" w14:paraId="6A328976" w14:textId="77777777" w:rsidTr="00B54E79">
        <w:tc>
          <w:tcPr>
            <w:tcW w:w="1615" w:type="dxa"/>
            <w:shd w:val="clear" w:color="auto" w:fill="E7E6E6" w:themeFill="background2"/>
            <w:vAlign w:val="center"/>
          </w:tcPr>
          <w:p w14:paraId="66B673B6" w14:textId="77777777" w:rsidR="00B54E79" w:rsidRPr="00B54E79" w:rsidRDefault="00B54E79" w:rsidP="00B54E79">
            <w:pPr>
              <w:jc w:val="center"/>
              <w:rPr>
                <w:b/>
              </w:rPr>
            </w:pPr>
            <w:r w:rsidRPr="00B54E79">
              <w:rPr>
                <w:b/>
              </w:rPr>
              <w:t>Intersections</w:t>
            </w:r>
          </w:p>
        </w:tc>
        <w:tc>
          <w:tcPr>
            <w:tcW w:w="9175" w:type="dxa"/>
            <w:gridSpan w:val="2"/>
            <w:vAlign w:val="center"/>
          </w:tcPr>
          <w:p w14:paraId="0BB83054" w14:textId="77777777" w:rsidR="00B54E79" w:rsidRPr="00565BAF" w:rsidRDefault="00B54E79" w:rsidP="00B54E79">
            <w:pPr>
              <w:jc w:val="center"/>
              <w:rPr>
                <w:sz w:val="17"/>
                <w:szCs w:val="17"/>
              </w:rPr>
            </w:pPr>
            <w:r w:rsidRPr="00565BAF">
              <w:rPr>
                <w:sz w:val="17"/>
                <w:szCs w:val="17"/>
              </w:rPr>
              <w:t>Both Title IX and the Clery Act address sexual offenses. While many of the processes to resolve sexual offenses are the same, there are different reporting processes.</w:t>
            </w:r>
          </w:p>
        </w:tc>
      </w:tr>
      <w:tr w:rsidR="00142E0A" w14:paraId="4E8E5F84" w14:textId="77777777" w:rsidTr="007562CC">
        <w:tc>
          <w:tcPr>
            <w:tcW w:w="1615" w:type="dxa"/>
            <w:shd w:val="clear" w:color="auto" w:fill="E7E6E6" w:themeFill="background2"/>
            <w:vAlign w:val="center"/>
          </w:tcPr>
          <w:p w14:paraId="0030964D" w14:textId="77777777" w:rsidR="00142E0A" w:rsidRPr="00B54E79" w:rsidRDefault="00142E0A" w:rsidP="00B54E79">
            <w:pPr>
              <w:jc w:val="center"/>
              <w:rPr>
                <w:b/>
              </w:rPr>
            </w:pPr>
            <w:r w:rsidRPr="00B54E79">
              <w:rPr>
                <w:b/>
              </w:rPr>
              <w:t>Reporting</w:t>
            </w:r>
          </w:p>
        </w:tc>
        <w:tc>
          <w:tcPr>
            <w:tcW w:w="5130" w:type="dxa"/>
            <w:vAlign w:val="center"/>
          </w:tcPr>
          <w:p w14:paraId="48FEDBB3" w14:textId="77777777" w:rsidR="00142E0A" w:rsidRPr="00565BAF" w:rsidRDefault="007562CC" w:rsidP="00B54E79">
            <w:pPr>
              <w:jc w:val="center"/>
              <w:rPr>
                <w:sz w:val="17"/>
                <w:szCs w:val="17"/>
              </w:rPr>
            </w:pPr>
            <w:r w:rsidRPr="00565BAF">
              <w:rPr>
                <w:sz w:val="17"/>
                <w:szCs w:val="17"/>
              </w:rPr>
              <w:t>Any incident of sexual violence occurring on or off campus should be reported directly to the</w:t>
            </w:r>
            <w:r w:rsidR="005720E9" w:rsidRPr="00565BAF">
              <w:rPr>
                <w:sz w:val="17"/>
                <w:szCs w:val="17"/>
              </w:rPr>
              <w:t xml:space="preserve"> Office of Support and Safety Assessment</w:t>
            </w:r>
            <w:r w:rsidR="00456593">
              <w:rPr>
                <w:sz w:val="17"/>
                <w:szCs w:val="17"/>
              </w:rPr>
              <w:t xml:space="preserve"> at (970) 491 – 1350.</w:t>
            </w:r>
          </w:p>
        </w:tc>
        <w:tc>
          <w:tcPr>
            <w:tcW w:w="4045" w:type="dxa"/>
            <w:vAlign w:val="center"/>
          </w:tcPr>
          <w:p w14:paraId="2BEA2756" w14:textId="77777777" w:rsidR="00142E0A" w:rsidRPr="00565BAF" w:rsidRDefault="00B54E79" w:rsidP="00B54E79">
            <w:pPr>
              <w:jc w:val="center"/>
              <w:rPr>
                <w:sz w:val="17"/>
                <w:szCs w:val="17"/>
              </w:rPr>
            </w:pPr>
            <w:r w:rsidRPr="00565BAF">
              <w:rPr>
                <w:sz w:val="17"/>
                <w:szCs w:val="17"/>
              </w:rPr>
              <w:t xml:space="preserve">Sexual offenses that occur </w:t>
            </w:r>
            <w:r w:rsidRPr="00565BAF">
              <w:rPr>
                <w:b/>
                <w:sz w:val="17"/>
                <w:szCs w:val="17"/>
              </w:rPr>
              <w:t>on-campus</w:t>
            </w:r>
            <w:r w:rsidR="00456593">
              <w:rPr>
                <w:sz w:val="17"/>
                <w:szCs w:val="17"/>
              </w:rPr>
              <w:t xml:space="preserve"> should be reported </w:t>
            </w:r>
            <w:r w:rsidRPr="00565BAF">
              <w:rPr>
                <w:sz w:val="17"/>
                <w:szCs w:val="17"/>
              </w:rPr>
              <w:t>to CSUPD. CSUPD works closely with Title IX.</w:t>
            </w:r>
          </w:p>
        </w:tc>
      </w:tr>
    </w:tbl>
    <w:p w14:paraId="41C8F396" w14:textId="77777777" w:rsidR="00142E0A" w:rsidRPr="00AB2418" w:rsidRDefault="00142E0A" w:rsidP="00F76F0D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B2418" w14:paraId="3A7674D1" w14:textId="77777777" w:rsidTr="00AB2418">
        <w:tc>
          <w:tcPr>
            <w:tcW w:w="10790" w:type="dxa"/>
            <w:shd w:val="clear" w:color="auto" w:fill="C8C372"/>
          </w:tcPr>
          <w:p w14:paraId="1B477D2D" w14:textId="77777777" w:rsidR="00AB2418" w:rsidRPr="00AB2418" w:rsidRDefault="00AB2418" w:rsidP="00AB2418">
            <w:pPr>
              <w:jc w:val="center"/>
              <w:rPr>
                <w:b/>
              </w:rPr>
            </w:pPr>
            <w:r w:rsidRPr="00AB2418">
              <w:rPr>
                <w:b/>
                <w:color w:val="1E4D2B"/>
              </w:rPr>
              <w:t>QUESTIONS?</w:t>
            </w:r>
          </w:p>
        </w:tc>
      </w:tr>
    </w:tbl>
    <w:p w14:paraId="472EC50D" w14:textId="70D6711D" w:rsidR="00F76F0D" w:rsidRDefault="00AB2418" w:rsidP="00F76F0D">
      <w:pPr>
        <w:spacing w:before="240"/>
        <w:jc w:val="center"/>
      </w:pPr>
      <w:r>
        <w:t>If you have any additiona</w:t>
      </w:r>
      <w:r w:rsidR="00F76F0D">
        <w:t xml:space="preserve">l questions, please contact </w:t>
      </w:r>
      <w:r w:rsidR="4446716D">
        <w:t>the Director of Clery Compliance Programs</w:t>
      </w:r>
    </w:p>
    <w:p w14:paraId="3B843783" w14:textId="48DCEC75" w:rsidR="00F76F0D" w:rsidRPr="000B3EA4" w:rsidRDefault="00792550" w:rsidP="00F76F0D">
      <w:pPr>
        <w:spacing w:before="240"/>
        <w:jc w:val="center"/>
      </w:pPr>
      <w:hyperlink r:id="rId13">
        <w:r w:rsidR="4446716D" w:rsidRPr="3F632337">
          <w:rPr>
            <w:rStyle w:val="Hyperlink"/>
          </w:rPr>
          <w:t>vpuo_clery_compliance@mail.colostate.edu</w:t>
        </w:r>
      </w:hyperlink>
    </w:p>
    <w:sectPr w:rsidR="00F76F0D" w:rsidRPr="000B3EA4" w:rsidSect="00F156FE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D3EC" w14:textId="77777777" w:rsidR="00AB2418" w:rsidRDefault="00AB2418" w:rsidP="001B7CEE">
      <w:pPr>
        <w:spacing w:after="0" w:line="240" w:lineRule="auto"/>
      </w:pPr>
      <w:r>
        <w:separator/>
      </w:r>
    </w:p>
  </w:endnote>
  <w:endnote w:type="continuationSeparator" w:id="0">
    <w:p w14:paraId="0D0B940D" w14:textId="77777777" w:rsidR="00AB2418" w:rsidRDefault="00AB2418" w:rsidP="001B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B00A" w14:textId="77777777" w:rsidR="00AB2418" w:rsidRDefault="00AB2418" w:rsidP="001B7CEE">
      <w:pPr>
        <w:spacing w:after="0" w:line="240" w:lineRule="auto"/>
      </w:pPr>
      <w:r>
        <w:separator/>
      </w:r>
    </w:p>
  </w:footnote>
  <w:footnote w:type="continuationSeparator" w:id="0">
    <w:p w14:paraId="60061E4C" w14:textId="77777777" w:rsidR="00AB2418" w:rsidRDefault="00AB2418" w:rsidP="001B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4053" w14:textId="77777777" w:rsidR="00AB2418" w:rsidRPr="00B10A47" w:rsidRDefault="00AB2418" w:rsidP="001B7CEE">
    <w:pPr>
      <w:pStyle w:val="Header"/>
      <w:jc w:val="center"/>
      <w:rPr>
        <w:rFonts w:ascii="Perpetua" w:hAnsi="Perpetua"/>
        <w:sz w:val="40"/>
        <w:szCs w:val="40"/>
      </w:rPr>
    </w:pPr>
    <w:r w:rsidRPr="00B10A47">
      <w:rPr>
        <w:rFonts w:ascii="Perpetua" w:hAnsi="Perpetua"/>
        <w:sz w:val="40"/>
        <w:szCs w:val="40"/>
      </w:rPr>
      <w:t>Colorado State University</w:t>
    </w:r>
  </w:p>
  <w:p w14:paraId="16A9B245" w14:textId="77777777" w:rsidR="00AB2418" w:rsidRPr="00374A47" w:rsidRDefault="00AB2418" w:rsidP="001B7CEE">
    <w:pPr>
      <w:pStyle w:val="Header"/>
      <w:jc w:val="center"/>
      <w:rPr>
        <w:rFonts w:cstheme="minorHAnsi"/>
        <w:sz w:val="32"/>
        <w:szCs w:val="32"/>
      </w:rPr>
    </w:pPr>
    <w:r w:rsidRPr="00374A47">
      <w:rPr>
        <w:rFonts w:cstheme="minorHAnsi"/>
        <w:sz w:val="32"/>
        <w:szCs w:val="32"/>
      </w:rPr>
      <w:t>Campus Security Authority Reference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1D26"/>
    <w:multiLevelType w:val="hybridMultilevel"/>
    <w:tmpl w:val="FE5A6992"/>
    <w:lvl w:ilvl="0" w:tplc="FAB0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754CE"/>
    <w:multiLevelType w:val="hybridMultilevel"/>
    <w:tmpl w:val="118C7154"/>
    <w:lvl w:ilvl="0" w:tplc="207EF97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FE1F03"/>
    <w:multiLevelType w:val="hybridMultilevel"/>
    <w:tmpl w:val="BE5C5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A2811"/>
    <w:multiLevelType w:val="hybridMultilevel"/>
    <w:tmpl w:val="C4965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EE"/>
    <w:rsid w:val="000B3165"/>
    <w:rsid w:val="000B3EA4"/>
    <w:rsid w:val="000B4430"/>
    <w:rsid w:val="000C07FA"/>
    <w:rsid w:val="000E5D12"/>
    <w:rsid w:val="00142E0A"/>
    <w:rsid w:val="001B7CEE"/>
    <w:rsid w:val="001D1945"/>
    <w:rsid w:val="00256707"/>
    <w:rsid w:val="00306EAE"/>
    <w:rsid w:val="00374A47"/>
    <w:rsid w:val="00380AE3"/>
    <w:rsid w:val="00425D8C"/>
    <w:rsid w:val="00433A49"/>
    <w:rsid w:val="00456593"/>
    <w:rsid w:val="00526157"/>
    <w:rsid w:val="00546984"/>
    <w:rsid w:val="00565BAF"/>
    <w:rsid w:val="005720E9"/>
    <w:rsid w:val="00576348"/>
    <w:rsid w:val="005A56ED"/>
    <w:rsid w:val="005C4EDF"/>
    <w:rsid w:val="005D7D9F"/>
    <w:rsid w:val="005F1AE2"/>
    <w:rsid w:val="0060171D"/>
    <w:rsid w:val="006D34B8"/>
    <w:rsid w:val="007106D4"/>
    <w:rsid w:val="007170B1"/>
    <w:rsid w:val="007562CC"/>
    <w:rsid w:val="00792550"/>
    <w:rsid w:val="008A5E7F"/>
    <w:rsid w:val="009727D8"/>
    <w:rsid w:val="009C50F1"/>
    <w:rsid w:val="009F630A"/>
    <w:rsid w:val="00A20D55"/>
    <w:rsid w:val="00A87EF5"/>
    <w:rsid w:val="00AB2418"/>
    <w:rsid w:val="00B10A47"/>
    <w:rsid w:val="00B54E79"/>
    <w:rsid w:val="00B60C1D"/>
    <w:rsid w:val="00BF31EC"/>
    <w:rsid w:val="00C70057"/>
    <w:rsid w:val="00CB7E1D"/>
    <w:rsid w:val="00CC0F69"/>
    <w:rsid w:val="00CC687F"/>
    <w:rsid w:val="00CF282B"/>
    <w:rsid w:val="00D30EE0"/>
    <w:rsid w:val="00D661D8"/>
    <w:rsid w:val="00D86C28"/>
    <w:rsid w:val="00D94D58"/>
    <w:rsid w:val="00DF3043"/>
    <w:rsid w:val="00E815C8"/>
    <w:rsid w:val="00EB78F5"/>
    <w:rsid w:val="00F0306A"/>
    <w:rsid w:val="00F156FE"/>
    <w:rsid w:val="00F76F0D"/>
    <w:rsid w:val="2131C76F"/>
    <w:rsid w:val="3F632337"/>
    <w:rsid w:val="4446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453B5"/>
  <w15:chartTrackingRefBased/>
  <w15:docId w15:val="{4622F3ED-E0EA-42A8-B064-DBB0A6C1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CEE"/>
  </w:style>
  <w:style w:type="paragraph" w:styleId="Footer">
    <w:name w:val="footer"/>
    <w:basedOn w:val="Normal"/>
    <w:link w:val="FooterChar"/>
    <w:uiPriority w:val="99"/>
    <w:unhideWhenUsed/>
    <w:rsid w:val="001B7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CEE"/>
  </w:style>
  <w:style w:type="table" w:styleId="TableGrid">
    <w:name w:val="Table Grid"/>
    <w:basedOn w:val="TableNormal"/>
    <w:uiPriority w:val="39"/>
    <w:rsid w:val="001B7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3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E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9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6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puo_clery_compliance@mail.colostate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C9B86323B1441AB6FCC328EA3DF9F" ma:contentTypeVersion="7" ma:contentTypeDescription="Create a new document." ma:contentTypeScope="" ma:versionID="f4cf8ad2a9893be99ea944ab7444d30a">
  <xsd:schema xmlns:xsd="http://www.w3.org/2001/XMLSchema" xmlns:xs="http://www.w3.org/2001/XMLSchema" xmlns:p="http://schemas.microsoft.com/office/2006/metadata/properties" xmlns:ns2="d9ac1479-2612-4b3e-8083-ebd79270c5e4" xmlns:ns3="07072323-738c-4ca7-804a-08be09630546" targetNamespace="http://schemas.microsoft.com/office/2006/metadata/properties" ma:root="true" ma:fieldsID="197ae9b1e82128f283231a5c2b8885ca" ns2:_="" ns3:_="">
    <xsd:import namespace="d9ac1479-2612-4b3e-8083-ebd79270c5e4"/>
    <xsd:import namespace="07072323-738c-4ca7-804a-08be0963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c1479-2612-4b3e-8083-ebd79270c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72323-738c-4ca7-804a-08be0963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B01B2D-A4E6-44F6-B45F-B43907BC3D48}">
  <ds:schemaRefs>
    <ds:schemaRef ds:uri="07072323-738c-4ca7-804a-08be09630546"/>
    <ds:schemaRef ds:uri="d9ac1479-2612-4b3e-8083-ebd79270c5e4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AAD03F7-98CD-4B71-A746-27D24DE0BF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BA5A19-B4BE-4275-8A71-4E9355FA32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D70E8F-2840-4A50-B4DC-E09F1FE4C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c1479-2612-4b3e-8083-ebd79270c5e4"/>
    <ds:schemaRef ds:uri="07072323-738c-4ca7-804a-08be0963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McClure,Joshua</dc:creator>
  <cp:keywords/>
  <dc:description/>
  <cp:lastModifiedBy>Miller,Rebecca</cp:lastModifiedBy>
  <cp:revision>2</cp:revision>
  <cp:lastPrinted>2018-08-30T15:14:00Z</cp:lastPrinted>
  <dcterms:created xsi:type="dcterms:W3CDTF">2021-10-19T21:00:00Z</dcterms:created>
  <dcterms:modified xsi:type="dcterms:W3CDTF">2021-10-19T21:00:00Z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0x010100004C9B86323B1441AB6FCC328EA3DF9F</vt:lpwstr>
  </property>
</Properties>
</file>